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sz w:val="36"/>
          <w:szCs w:val="36"/>
          <w:rtl w:val="0"/>
        </w:rPr>
        <w:t xml:space="preserve">建功高中職業安全衛生作業標準辦法</w:t>
      </w:r>
    </w:p>
    <w:p w:rsidR="00000000" w:rsidDel="00000000" w:rsidP="00000000" w:rsidRDefault="00000000" w:rsidRPr="00000000" w14:paraId="0000000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hanging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目的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851" w:hanging="42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1.1 提供正確安全的作業標準供校內工作者(如：教職</w:t>
      </w:r>
      <w:r w:rsidDel="00000000" w:rsidR="00000000" w:rsidRPr="00000000">
        <w:rPr>
          <w:rtl w:val="0"/>
        </w:rPr>
        <w:t xml:space="preserve">校內工作者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員工與學生等)及利害相關者(如訪客、承攬商等)作業時有所遵循，以消除不安全之作業，並配合設備環境以正確方法從事作業，對於新進校內工作者、調換作業校內工作者安全教育，以防止職業災害之發生。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1.2 使各單位之安全作業標準製作之格式、改版與分發之作業有所依據。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hanging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適用範圍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67" w:firstLine="48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校內所有的作業標準。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hanging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名詞定義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67" w:firstLine="48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作業標準：係指規定作業條件、作業方法、管理方法、使用材料、使用設備及其他之注意事項等相關之基準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hanging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相關文件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4.1.系統文件之格式、改版與分發規定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4.2.文件管理體系編號規定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4.3.專有名詞說明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hanging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作業程序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5.1.</w:t>
        <w:tab/>
        <w:t xml:space="preserve">安全作業標準製作步驟（如圖一所示）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5.1.1.選擇單位作業，依作業分類表選擇訂定作業標準之優先次序。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5.1.2.實施作業分解（分析），就作業觀察、分析，參考過去之事故或災害紀錄等，做作業之改善。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5.1.3.訂定標準之草案，需校內全員參與，就「可行性、安全性、簡易性」等方面檢討，並徵詢所有作業人員之意見。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5.1.4.決定作業標準，由校長或授權部門主管之訂定。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5.1.5.指導作業標準，由部門主管指示實施作業指導，教育訓練。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5.1.6.作業標準之變更與修正，設備或作業方法變更與修正時，需定期檢討修正。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926410" cy="56085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6410" cy="5608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圖一 安全作業標準製作步驟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5.2.選擇單位作業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5.2.1.失能傷害頻率高的作業。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5.2.2.傷害嚴重率高的作業。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5.2.3.曾發生事故的作業。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5.2.4.有潛在危險的作業。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5.2.5.非經常性的或臨時性的作業。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5.2.6.新的設備、程序改變後或新增加的作業。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5.2.7.經常性的維護保養作業。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5.3.</w:t>
        <w:tab/>
        <w:t xml:space="preserve">實施作業分析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5.3.1.有關基本動作的順序及方法，避免不合理、不經濟、不均勻的動作。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5.3.2.有關作業人員及共同作業，二人以上作業人員共同作業，應決定個別基本動作之擔任人員。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5.3.3.有關每一基本動作之要點，可能發生危險或有害事項、完成與否應明確說明，必要時可在要點欄後面加「理由、條件欄」說明有關理由條件。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5.4.</w:t>
        <w:tab/>
        <w:t xml:space="preserve">訂定標準之草案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5.4.1.決定單位作業名稱，決定要分析之單位作業名稱，並明確確定該作業之始終。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5.4.2.實施作業分解，將單位作業細分為準備、主體、整理等三大作業要素。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5.4.3.發現潛在危險及可能之危害。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hanging="284.00000000000006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sz w:val="24"/>
          <w:szCs w:val="24"/>
          <w:rtl w:val="0"/>
        </w:rPr>
        <w:t xml:space="preserve">校內工作者是否會撞及物體或被物體撞及或觸及物體而遭致傷害？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hanging="284.00000000000006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sz w:val="24"/>
          <w:szCs w:val="24"/>
          <w:rtl w:val="0"/>
        </w:rPr>
        <w:t xml:space="preserve">校內工作者是否會陷入、絆住或挾入於物件中？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hanging="284.00000000000006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sz w:val="24"/>
          <w:szCs w:val="24"/>
          <w:rtl w:val="0"/>
        </w:rPr>
        <w:t xml:space="preserve">校內工作者是否會滑跤或絆倒？是否會跌在同一平面上或墬落至另一平面？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hanging="284.00000000000006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sz w:val="24"/>
          <w:szCs w:val="24"/>
          <w:rtl w:val="0"/>
        </w:rPr>
        <w:t xml:space="preserve">校內工作者是否在推、拉或舉物時過度用力而受傷？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hanging="284.00000000000006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sz w:val="24"/>
          <w:szCs w:val="24"/>
          <w:rtl w:val="0"/>
        </w:rPr>
        <w:t xml:space="preserve">工作環境是否有害的暴露，有毒氣體、蒸氣、煙霧、塵埃、輻射等？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hanging="284.00000000000006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sz w:val="24"/>
          <w:szCs w:val="24"/>
          <w:rtl w:val="0"/>
        </w:rPr>
        <w:t xml:space="preserve">是否能使同事受到傷害？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5.4.4.安全作業標準格式範例（如附表1）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5.5.</w:t>
        <w:tab/>
        <w:t xml:space="preserve">安全作業標準草案填載注意事項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5.5.1.文件管理資料、編號、分類，參照文件管理體系編號規定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276" w:hanging="70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897697" cy="171214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7697" cy="17121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5.5.2.有關作業條件、單位作業間的連繫、前置條件填註。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5.5.3.有關防護具及使用器具事項，記錄作業所必備之防護具、保護具、工具、或用具等。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5.5.4.有關作業圖事項，以機器之細部、作業人員之位置需以圖解正確說明。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5.5.5.有關災害事例，作業標準書中有被提及之基本動作或作業順序的實施中，曾發生災害的事例，應簡要記載，以提醒作業人員注意。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5.5.6.有關災害對策，強調災害發生之應變及預防措施。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5.6.</w:t>
        <w:tab/>
        <w:t xml:space="preserve">安全作業標準文件制訂與審核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658" w:firstLine="446.00000000000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依據「校內文件之格式、改版與分發規定」制訂與審核辦理。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5.7.</w:t>
        <w:tab/>
        <w:t xml:space="preserve">安全作業標準之修正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85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　　工作安全分析表並非一成不變，需隨下列情況而隨時修正或定期修正。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5.7.1.發生事故時，作業分析表應就事故原因予以修改或增刪。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5.7.2.工作程序變更時即修訂。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5.7.3.工作方法改變時亦應重新分析，以符實際需要。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5.7.4.改訂、修正時需提出會簽，並依據「校內文件之格式、改版與分發規定」進行增加、修訂或廢止辦理。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hanging="56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5.7.5.修正後需連絡相關單位說明。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907" w:hanging="48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5.8.</w:t>
        <w:tab/>
        <w:t xml:space="preserve">安全作業標準文件管制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依據「校內文件之格式、改版與分發規定」辦理文件管制。</w:t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Gungsuh" w:cs="Gungsuh" w:eastAsia="Gungsuh" w:hAnsi="Gungsuh"/>
          <w:b w:val="1"/>
          <w:sz w:val="36"/>
          <w:szCs w:val="36"/>
          <w:rtl w:val="0"/>
        </w:rPr>
        <w:t xml:space="preserve">附表1 液態氣體安全作業標準</w:t>
      </w:r>
    </w:p>
    <w:tbl>
      <w:tblPr>
        <w:tblStyle w:val="Table1"/>
        <w:tblW w:w="9628.0" w:type="dxa"/>
        <w:jc w:val="center"/>
        <w:tblInd w:w="-28.0" w:type="dxa"/>
        <w:tblLayout w:type="fixed"/>
        <w:tblLook w:val="0000"/>
      </w:tblPr>
      <w:tblGrid>
        <w:gridCol w:w="803"/>
        <w:gridCol w:w="1135"/>
        <w:gridCol w:w="10"/>
        <w:gridCol w:w="2520"/>
        <w:gridCol w:w="1920"/>
        <w:gridCol w:w="2160"/>
        <w:gridCol w:w="1080"/>
        <w:tblGridChange w:id="0">
          <w:tblGrid>
            <w:gridCol w:w="803"/>
            <w:gridCol w:w="1135"/>
            <w:gridCol w:w="10"/>
            <w:gridCol w:w="2520"/>
            <w:gridCol w:w="1920"/>
            <w:gridCol w:w="2160"/>
            <w:gridCol w:w="108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作業種類區分：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9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低溫系統操作作業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單位作業名稱：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液態氣體傳輸作業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作 業 方 式 ：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協同作業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使用處理材料：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72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液態氮、液態氦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使用器具工具：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專用儲存桶、專用傳輸管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防 護 器 具 ：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防凍手套、護目鏡、安全皮鞋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資 格 限 制 ：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需經訓練合格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right="202" w:firstLine="12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工作步驟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right="332" w:firstLine="342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工作方法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right="92" w:firstLine="212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不安全因素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ind w:right="230" w:firstLine="92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安全措施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事故處理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07" w:hanging="20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1.將傳輸管插入液態氣體儲存桶中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1-1操作手應熟悉極低液態氣體特性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1-2檢查所有閥件是否漏氣。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1-3移動液態氣體儲存桶不可顛簸搖晃。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1-1液態氣體受傳輸管導入的熱，可能大量揮發造成壓力過大。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1-2不小心將液態氣體儲存桶傾倒。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1-3被大量噴出低溫氣體凍傷。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1-1注意壓力表指數。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1-2帶上防護手套及護目鏡。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1. 人員受傷送醫急救治療。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07" w:hanging="20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2.待液態氣體噴出時，將傳輸管另一端插入系統杜瓦瓶中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2-1液態氣體儲存桶端的操作人員需聽從系統杜瓦瓶端操作員指示。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2-1被大量噴出低溫氣體凍傷。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32" w:hanging="33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32" w:hanging="332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2-1帶上防護手套及護目鏡。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2同1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07" w:hanging="20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3.傳輸結束，拔出傳輸管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3-1系統杜瓦瓶端先拉離液面。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3-2將液態氣體儲存桶洩壓。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3-3拔出傳輸管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3-1被大量噴出低溫氣體凍傷。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3-2被拔出傳輸管凍傷。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96" w:hanging="39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3-1帶上防護手套及護目鏡。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04" w:hanging="20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3同1</w:t>
            </w:r>
          </w:p>
        </w:tc>
      </w:tr>
      <w:tr>
        <w:trPr>
          <w:trHeight w:val="2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ind w:left="120" w:hanging="1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圖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720" w:lineRule="auto"/>
              <w:ind w:left="120" w:hanging="1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rtl w:val="0"/>
              </w:rPr>
              <w:t xml:space="preserve">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04" w:hanging="20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1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18" w:top="1418" w:left="1418" w:right="141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ungsuh"/>
  <w:font w:name="華康中黑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jc w:val="center"/>
      <w:rPr/>
    </w:pPr>
    <w:r w:rsidDel="00000000" w:rsidR="00000000" w:rsidRPr="00000000">
      <w:rPr>
        <w:rFonts w:ascii="Gungsuh" w:cs="Gungsuh" w:eastAsia="Gungsuh" w:hAnsi="Gungsuh"/>
        <w:b w:val="0"/>
        <w:sz w:val="20"/>
        <w:szCs w:val="20"/>
        <w:rtl w:val="0"/>
      </w:rPr>
      <w:t xml:space="preserve">第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ungsuh" w:cs="Gungsuh" w:eastAsia="Gungsuh" w:hAnsi="Gungsuh"/>
        <w:b w:val="0"/>
        <w:sz w:val="20"/>
        <w:szCs w:val="20"/>
        <w:rtl w:val="0"/>
      </w:rPr>
      <w:t xml:space="preserve">頁/共</w:t>
    </w:r>
    <w:r w:rsidDel="00000000" w:rsidR="00000000" w:rsidRPr="00000000">
      <w:rPr>
        <w:rFonts w:ascii="Calibri" w:cs="Calibri" w:eastAsia="Calibri" w:hAnsi="Calibri"/>
        <w:b w:val="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Gungsuh" w:cs="Gungsuh" w:eastAsia="Gungsuh" w:hAnsi="Gungsuh"/>
        <w:b w:val="0"/>
        <w:sz w:val="20"/>
        <w:szCs w:val="20"/>
        <w:rtl w:val="0"/>
      </w:rPr>
      <w:t xml:space="preserve">頁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737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84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職業安全衛生管理計畫 附件八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1898" w:hanging="480"/>
      </w:pPr>
      <w:rPr/>
    </w:lvl>
    <w:lvl w:ilvl="1">
      <w:start w:val="1"/>
      <w:numFmt w:val="decimal"/>
      <w:lvlText w:val="%2、"/>
      <w:lvlJc w:val="left"/>
      <w:pPr>
        <w:ind w:left="2378" w:hanging="480"/>
      </w:pPr>
      <w:rPr/>
    </w:lvl>
    <w:lvl w:ilvl="2">
      <w:start w:val="1"/>
      <w:numFmt w:val="lowerRoman"/>
      <w:lvlText w:val="%3."/>
      <w:lvlJc w:val="right"/>
      <w:pPr>
        <w:ind w:left="2858" w:hanging="480"/>
      </w:pPr>
      <w:rPr/>
    </w:lvl>
    <w:lvl w:ilvl="3">
      <w:start w:val="1"/>
      <w:numFmt w:val="decimal"/>
      <w:lvlText w:val="%4."/>
      <w:lvlJc w:val="left"/>
      <w:pPr>
        <w:ind w:left="3338" w:hanging="480"/>
      </w:pPr>
      <w:rPr/>
    </w:lvl>
    <w:lvl w:ilvl="4">
      <w:start w:val="1"/>
      <w:numFmt w:val="decimal"/>
      <w:lvlText w:val="%5、"/>
      <w:lvlJc w:val="left"/>
      <w:pPr>
        <w:ind w:left="3818" w:hanging="480"/>
      </w:pPr>
      <w:rPr/>
    </w:lvl>
    <w:lvl w:ilvl="5">
      <w:start w:val="1"/>
      <w:numFmt w:val="lowerRoman"/>
      <w:lvlText w:val="%6."/>
      <w:lvlJc w:val="right"/>
      <w:pPr>
        <w:ind w:left="4298" w:hanging="480"/>
      </w:pPr>
      <w:rPr/>
    </w:lvl>
    <w:lvl w:ilvl="6">
      <w:start w:val="1"/>
      <w:numFmt w:val="decimal"/>
      <w:lvlText w:val="%7."/>
      <w:lvlJc w:val="left"/>
      <w:pPr>
        <w:ind w:left="4778" w:hanging="480"/>
      </w:pPr>
      <w:rPr/>
    </w:lvl>
    <w:lvl w:ilvl="7">
      <w:start w:val="1"/>
      <w:numFmt w:val="decimal"/>
      <w:lvlText w:val="%8、"/>
      <w:lvlJc w:val="left"/>
      <w:pPr>
        <w:ind w:left="5258" w:hanging="480"/>
      </w:pPr>
      <w:rPr/>
    </w:lvl>
    <w:lvl w:ilvl="8">
      <w:start w:val="1"/>
      <w:numFmt w:val="lowerRoman"/>
      <w:lvlText w:val="%9."/>
      <w:lvlJc w:val="right"/>
      <w:pPr>
        <w:ind w:left="5738" w:hanging="480"/>
      </w:pPr>
      <w:rPr/>
    </w:lvl>
  </w:abstractNum>
  <w:abstractNum w:abstractNumId="2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480" w:hanging="480"/>
      <w:jc w:val="center"/>
    </w:pPr>
    <w:rPr>
      <w:rFonts w:ascii="Times New Roman" w:cs="Times New Roman" w:eastAsia="Times New Roman" w:hAnsi="Times New Roman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240" w:before="360" w:line="240" w:lineRule="auto"/>
      <w:jc w:val="both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720" w:lineRule="auto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tabs>
        <w:tab w:val="left" w:pos="5640"/>
      </w:tabs>
      <w:spacing w:after="0" w:before="0" w:line="240" w:lineRule="auto"/>
      <w:jc w:val="center"/>
    </w:pPr>
    <w:rPr>
      <w:rFonts w:ascii="華康中黑體" w:cs="華康中黑體" w:eastAsia="華康中黑體" w:hAnsi="華康中黑體"/>
      <w:b w:val="0"/>
      <w:i w:val="1"/>
      <w:color w:val="666666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